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3008" w14:textId="602E7F52" w:rsidR="00D724D3" w:rsidRPr="00CF2882" w:rsidRDefault="006F3B97" w:rsidP="00CF2882">
      <w:pPr>
        <w:spacing w:line="276" w:lineRule="auto"/>
        <w:jc w:val="center"/>
        <w:rPr>
          <w:rFonts w:ascii="Calibri" w:hAnsi="Calibri" w:cs="Calibri"/>
        </w:rPr>
      </w:pPr>
      <w:r w:rsidRPr="00CF2882">
        <w:rPr>
          <w:rFonts w:ascii="Calibri" w:hAnsi="Calibri" w:cs="Calibri"/>
          <w:noProof/>
        </w:rPr>
        <w:drawing>
          <wp:inline distT="0" distB="0" distL="0" distR="0" wp14:anchorId="72D74BDF" wp14:editId="096B9FD8">
            <wp:extent cx="762000" cy="762000"/>
            <wp:effectExtent l="0" t="0" r="0" b="0"/>
            <wp:docPr id="563245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45708" name="Picture 5632457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0947" w14:textId="1C9E06A7" w:rsidR="006F3B97" w:rsidRPr="00CF2882" w:rsidRDefault="006F3B97" w:rsidP="00CF2882">
      <w:pPr>
        <w:spacing w:line="276" w:lineRule="auto"/>
        <w:rPr>
          <w:rFonts w:ascii="Calibri" w:hAnsi="Calibri" w:cs="Calibri"/>
          <w:b/>
          <w:bCs/>
        </w:rPr>
      </w:pPr>
      <w:r w:rsidRPr="00CF2882">
        <w:rPr>
          <w:rFonts w:ascii="Calibri" w:hAnsi="Calibri" w:cs="Calibri"/>
          <w:b/>
          <w:bCs/>
        </w:rPr>
        <w:t xml:space="preserve">Clean Desk Policy </w:t>
      </w:r>
    </w:p>
    <w:p w14:paraId="4501034C" w14:textId="77777777" w:rsidR="006F3B97" w:rsidRPr="00CF2882" w:rsidRDefault="006F3B97" w:rsidP="00CF2882">
      <w:pPr>
        <w:spacing w:line="276" w:lineRule="auto"/>
        <w:rPr>
          <w:rFonts w:ascii="Calibri" w:hAnsi="Calibri" w:cs="Calibri"/>
          <w:b/>
          <w:bCs/>
        </w:rPr>
      </w:pPr>
      <w:r w:rsidRPr="00CF2882">
        <w:rPr>
          <w:rFonts w:ascii="Calibri" w:hAnsi="Calibri" w:cs="Calibri"/>
          <w:b/>
          <w:bCs/>
        </w:rPr>
        <w:t xml:space="preserve">Purpose and Scope </w:t>
      </w:r>
    </w:p>
    <w:p w14:paraId="2022A816" w14:textId="1C1DF9B3" w:rsidR="006F3B97" w:rsidRPr="006F3B97" w:rsidRDefault="006F3B97" w:rsidP="00CF2882">
      <w:pPr>
        <w:spacing w:line="276" w:lineRule="auto"/>
        <w:rPr>
          <w:rFonts w:ascii="Calibri" w:hAnsi="Calibri" w:cs="Calibri"/>
          <w:b/>
          <w:bCs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This policy applies to all employees of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Kea Preschool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and its affiliates. As an Early Years childcare provider, we handle sensitive personal data belonging to children, parents/carers, and staff.</w:t>
      </w:r>
    </w:p>
    <w:p w14:paraId="6C9711A8" w14:textId="1557654B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clean desk policy 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helps ensure the security of confidential information and reduces the risk of unauthorised access, loss, or damage from incidents such as fire or flood.</w:t>
      </w:r>
    </w:p>
    <w:p w14:paraId="7A8D46AD" w14:textId="77777777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This policy applies to both </w:t>
      </w:r>
      <w:r w:rsidRPr="006F3B97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physical and electronic records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and forms part of our wider commitment to data protection and compliance with GDPR and other relevant legislation.</w:t>
      </w:r>
    </w:p>
    <w:p w14:paraId="18DD4360" w14:textId="2933023F" w:rsidR="006F3B97" w:rsidRPr="00CF2882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6E7C55" w14:textId="41878EE2" w:rsidR="006F3B97" w:rsidRPr="00CF2882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88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Policy Statement </w:t>
      </w:r>
    </w:p>
    <w:p w14:paraId="65278D3F" w14:textId="77777777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8A4CD80" w14:textId="4E3D56B8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A clea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>n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desk policy does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not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require that desks be completely cleared of all items. Instead, it ensures that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confidential, sensitive, or personal data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(whether in paper or electronic form) is securely stored whenever a workspace is unattended or at the end of the working day.</w:t>
      </w:r>
    </w:p>
    <w:p w14:paraId="456C94D2" w14:textId="72A8E758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This includes information stored on 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>devices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such as laptops, tablets, cameras, or USB drives that may contain personal data.</w:t>
      </w:r>
    </w:p>
    <w:p w14:paraId="719616A6" w14:textId="54C022E3" w:rsidR="006F3B97" w:rsidRPr="00CF2882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4E7B8E7" w14:textId="0E944DE3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88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Responsibilities of Staff</w:t>
      </w:r>
    </w:p>
    <w:p w14:paraId="7E8E2F17" w14:textId="77777777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All employees must ensure the following:</w:t>
      </w:r>
    </w:p>
    <w:p w14:paraId="2FB18389" w14:textId="77777777" w:rsidR="006F3B97" w:rsidRPr="006F3B97" w:rsidRDefault="006F3B97" w:rsidP="00CF2882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Paper Documents:</w:t>
      </w:r>
    </w:p>
    <w:p w14:paraId="480FF41D" w14:textId="063F42E4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All sensitive/confidential paper documents must be stored securely in a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locked drawer or cupboard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when not in use or when unattended.</w:t>
      </w:r>
    </w:p>
    <w:p w14:paraId="2714D21B" w14:textId="77777777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At the end of each day or during extended absences, these documents must be filed away and not left on desks or open surfaces.</w:t>
      </w:r>
    </w:p>
    <w:p w14:paraId="64CD19EB" w14:textId="1FAB5E58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Documents containing personal information must be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shredded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or placed in the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locked in the filing cabinets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when no longer required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written on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B682A7C" w14:textId="77777777" w:rsidR="006F3B97" w:rsidRPr="006F3B97" w:rsidRDefault="006F3B97" w:rsidP="00CF2882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Electronic Devices:</w:t>
      </w:r>
    </w:p>
    <w:p w14:paraId="56328FEB" w14:textId="0BB5EF6D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Laptops, iPads, Kindles, phones and cameras 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must be securely stored in 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locked box in the Robins and Squirrels room when 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not in use.</w:t>
      </w:r>
    </w:p>
    <w:p w14:paraId="6CC7FF0A" w14:textId="222DD7EE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Computers must be off 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when workstations are unattended.</w:t>
      </w:r>
    </w:p>
    <w:p w14:paraId="4F900636" w14:textId="029B3E04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All computers</w:t>
      </w:r>
      <w:r w:rsidRPr="00CF2882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 xml:space="preserve"> and laptops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 xml:space="preserve"> must be fully shut down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at the end of each working day.</w:t>
      </w:r>
    </w:p>
    <w:p w14:paraId="634B2EE4" w14:textId="77777777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Devices containing sensitive data must not be left unattended or visible.</w:t>
      </w:r>
    </w:p>
    <w:p w14:paraId="5652C289" w14:textId="77777777" w:rsidR="006F3B97" w:rsidRPr="006F3B97" w:rsidRDefault="006F3B97" w:rsidP="00CF2882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Password and Access Security:</w:t>
      </w:r>
    </w:p>
    <w:p w14:paraId="3FFDD637" w14:textId="77777777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lastRenderedPageBreak/>
        <w:t>Passwords must not be written down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or stored near the computer (e.g. on sticky notes).</w:t>
      </w:r>
    </w:p>
    <w:p w14:paraId="080FCAA9" w14:textId="18BAA3FA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Passwords should not be shared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0DE5E3B" w14:textId="32A89BBE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Access keys to drawers or cabinets storing sensitive data must be stored in the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lock</w:t>
      </w:r>
      <w:r w:rsidRPr="00CF2882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able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 xml:space="preserve"> key box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>in the office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DD1D70C" w14:textId="77777777" w:rsidR="006F3B97" w:rsidRPr="006F3B97" w:rsidRDefault="006F3B97" w:rsidP="00CF2882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Printers and Whiteboards:</w:t>
      </w:r>
    </w:p>
    <w:p w14:paraId="0633CA7E" w14:textId="77777777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Printouts containing personal or confidential information must be 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retrieved immediately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from printers.</w:t>
      </w:r>
    </w:p>
    <w:p w14:paraId="0BEC032B" w14:textId="77777777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Whiteboards with personal information must be 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wiped clean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after use and 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covered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if visitors (e.g., maintenance workers, prospective parents) are present.</w:t>
      </w:r>
    </w:p>
    <w:p w14:paraId="78422F5B" w14:textId="77777777" w:rsidR="006F3B97" w:rsidRPr="006F3B97" w:rsidRDefault="006F3B97" w:rsidP="00CF2882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Mass Storage Devices:</w:t>
      </w:r>
    </w:p>
    <w:p w14:paraId="1E1FB2BE" w14:textId="77777777" w:rsidR="006F3B97" w:rsidRPr="006F3B97" w:rsidRDefault="006F3B97" w:rsidP="00CF2882">
      <w:pPr>
        <w:numPr>
          <w:ilvl w:val="1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External hard drives and USB drives must be treated as 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confidential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 and stored securely in </w:t>
      </w:r>
      <w:r w:rsidRPr="006F3B97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locked drawers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118E017" w14:textId="2FE0A0A8" w:rsidR="006F3B97" w:rsidRPr="00CF2882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259AD9E" w14:textId="5C8198EC" w:rsidR="006F3B97" w:rsidRPr="006F3B97" w:rsidRDefault="00CF2882" w:rsidP="00CF2882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88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Compliance and Monitoring </w:t>
      </w:r>
    </w:p>
    <w:p w14:paraId="75666960" w14:textId="43E56C7E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Failure to comply with this policy may lead to disciplinary action and potential data breaches, which could result in reputational damage and legal consequences for the </w:t>
      </w:r>
      <w:r w:rsidR="00CF2882" w:rsidRPr="00CF2882">
        <w:rPr>
          <w:rFonts w:ascii="Calibri" w:eastAsia="Times New Roman" w:hAnsi="Calibri" w:cs="Calibri"/>
          <w:kern w:val="0"/>
          <w:lang w:eastAsia="en-GB"/>
          <w14:ligatures w14:val="none"/>
        </w:rPr>
        <w:t>preschool</w:t>
      </w: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4E58620" w14:textId="77777777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Regular audits may be carried out to ensure that staff are following this policy correctly.</w:t>
      </w:r>
    </w:p>
    <w:p w14:paraId="24577C60" w14:textId="537FE3FB" w:rsidR="006F3B97" w:rsidRPr="00CF2882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22F80CA" w14:textId="56A21BD3" w:rsidR="00CF2882" w:rsidRPr="006F3B97" w:rsidRDefault="00CF2882" w:rsidP="00CF2882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F288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Policy Review</w:t>
      </w:r>
    </w:p>
    <w:p w14:paraId="21FDA87B" w14:textId="77777777" w:rsidR="006F3B97" w:rsidRPr="006F3B97" w:rsidRDefault="006F3B97" w:rsidP="00CF2882">
      <w:p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F3B97">
        <w:rPr>
          <w:rFonts w:ascii="Calibri" w:eastAsia="Times New Roman" w:hAnsi="Calibri" w:cs="Calibri"/>
          <w:kern w:val="0"/>
          <w:lang w:eastAsia="en-GB"/>
          <w14:ligatures w14:val="none"/>
        </w:rPr>
        <w:t>This policy will be reviewed annually or in response to any significant changes in operations or data protection laws.</w:t>
      </w:r>
    </w:p>
    <w:p w14:paraId="032C1FB0" w14:textId="77777777" w:rsidR="006F3B97" w:rsidRDefault="006F3B97"/>
    <w:tbl>
      <w:tblPr>
        <w:tblW w:w="5040" w:type="pct"/>
        <w:tblLook w:val="01E0" w:firstRow="1" w:lastRow="1" w:firstColumn="1" w:lastColumn="1" w:noHBand="0" w:noVBand="0"/>
      </w:tblPr>
      <w:tblGrid>
        <w:gridCol w:w="4187"/>
        <w:gridCol w:w="3170"/>
        <w:gridCol w:w="1741"/>
      </w:tblGrid>
      <w:tr w:rsidR="00CF2882" w:rsidRPr="00534B3B" w14:paraId="379C175E" w14:textId="77777777" w:rsidTr="00D30290">
        <w:trPr>
          <w:trHeight w:val="386"/>
        </w:trPr>
        <w:tc>
          <w:tcPr>
            <w:tcW w:w="2301" w:type="pct"/>
          </w:tcPr>
          <w:p w14:paraId="645FDD50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4CBA37CE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Kea Preschool Ltd</w:t>
            </w:r>
          </w:p>
        </w:tc>
        <w:tc>
          <w:tcPr>
            <w:tcW w:w="957" w:type="pct"/>
          </w:tcPr>
          <w:p w14:paraId="1EFBA956" w14:textId="77415C5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CF2882" w:rsidRPr="00534B3B" w14:paraId="69D006D1" w14:textId="77777777" w:rsidTr="00D30290">
        <w:trPr>
          <w:trHeight w:val="386"/>
        </w:trPr>
        <w:tc>
          <w:tcPr>
            <w:tcW w:w="2301" w:type="pct"/>
          </w:tcPr>
          <w:p w14:paraId="7A3943CB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1EAAA00" w14:textId="0E1CAC04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CF2882">
              <w:rPr>
                <w:rFonts w:ascii="Calibri" w:hAnsi="Calibri" w:cs="Calibri"/>
                <w:i/>
              </w:rPr>
              <w:t>30</w:t>
            </w:r>
            <w:r w:rsidRPr="00CF2882">
              <w:rPr>
                <w:rFonts w:ascii="Calibri" w:hAnsi="Calibri" w:cs="Calibri"/>
                <w:i/>
                <w:vertAlign w:val="superscript"/>
              </w:rPr>
              <w:t>th</w:t>
            </w:r>
            <w:r w:rsidRPr="00CF2882">
              <w:rPr>
                <w:rFonts w:ascii="Calibri" w:hAnsi="Calibri" w:cs="Calibri"/>
                <w:i/>
              </w:rPr>
              <w:t xml:space="preserve"> September 2025</w:t>
            </w:r>
          </w:p>
        </w:tc>
        <w:tc>
          <w:tcPr>
            <w:tcW w:w="957" w:type="pct"/>
          </w:tcPr>
          <w:p w14:paraId="2288812B" w14:textId="21806720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CF2882" w:rsidRPr="00534B3B" w14:paraId="5F87C545" w14:textId="77777777" w:rsidTr="00D30290">
        <w:trPr>
          <w:trHeight w:val="401"/>
        </w:trPr>
        <w:tc>
          <w:tcPr>
            <w:tcW w:w="2301" w:type="pct"/>
          </w:tcPr>
          <w:p w14:paraId="6CA2799B" w14:textId="7E27C8F9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 xml:space="preserve">                                                            </w:t>
            </w:r>
          </w:p>
          <w:p w14:paraId="30202EEA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71BA2279" w14:textId="260A613E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</w:p>
          <w:p w14:paraId="0CC9696E" w14:textId="41F1D311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Annually </w:t>
            </w:r>
          </w:p>
        </w:tc>
        <w:tc>
          <w:tcPr>
            <w:tcW w:w="957" w:type="pct"/>
          </w:tcPr>
          <w:p w14:paraId="25DE62FA" w14:textId="5600F14B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CF2882" w:rsidRPr="00534B3B" w14:paraId="4AB383DF" w14:textId="77777777" w:rsidTr="00D30290">
        <w:trPr>
          <w:trHeight w:val="432"/>
        </w:trPr>
        <w:tc>
          <w:tcPr>
            <w:tcW w:w="2301" w:type="pct"/>
          </w:tcPr>
          <w:p w14:paraId="76A7C799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1DA12920" w14:textId="1844A81D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TM</w:t>
            </w:r>
            <w:r>
              <w:rPr>
                <w:rFonts w:ascii="Calibri" w:hAnsi="Calibri" w:cs="Calibri"/>
              </w:rPr>
              <w:t>VERRAN</w:t>
            </w:r>
          </w:p>
        </w:tc>
      </w:tr>
      <w:tr w:rsidR="00CF2882" w:rsidRPr="00534B3B" w14:paraId="21B55615" w14:textId="77777777" w:rsidTr="00D302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3D6D448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439AB8EE" w14:textId="3BF40CDB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 xml:space="preserve">Tracey </w:t>
            </w:r>
            <w:r>
              <w:rPr>
                <w:rFonts w:ascii="Calibri" w:hAnsi="Calibri" w:cs="Calibri"/>
              </w:rPr>
              <w:t>Verran</w:t>
            </w:r>
          </w:p>
        </w:tc>
      </w:tr>
      <w:tr w:rsidR="00CF2882" w:rsidRPr="00534B3B" w14:paraId="4C8D3046" w14:textId="77777777" w:rsidTr="00D302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44B43261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4FFD8968" w14:textId="77777777" w:rsidR="00CF2882" w:rsidRPr="00534B3B" w:rsidRDefault="00CF2882" w:rsidP="00D30290">
            <w:pPr>
              <w:spacing w:line="276" w:lineRule="auto"/>
              <w:rPr>
                <w:rFonts w:ascii="Calibri" w:hAnsi="Calibri" w:cs="Calibri"/>
              </w:rPr>
            </w:pPr>
            <w:r w:rsidRPr="00534B3B">
              <w:rPr>
                <w:rFonts w:ascii="Calibri" w:hAnsi="Calibri" w:cs="Calibri"/>
              </w:rPr>
              <w:t>Manager</w:t>
            </w:r>
          </w:p>
        </w:tc>
      </w:tr>
    </w:tbl>
    <w:p w14:paraId="344E3FE3" w14:textId="77777777" w:rsidR="00CF2882" w:rsidRDefault="00CF2882"/>
    <w:sectPr w:rsidR="00CF2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7C01"/>
    <w:multiLevelType w:val="multilevel"/>
    <w:tmpl w:val="213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75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97"/>
    <w:rsid w:val="002F3CE5"/>
    <w:rsid w:val="006F3B97"/>
    <w:rsid w:val="00967322"/>
    <w:rsid w:val="00CF2882"/>
    <w:rsid w:val="00D724D3"/>
    <w:rsid w:val="00E152BE"/>
    <w:rsid w:val="00F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25BA"/>
  <w15:chartTrackingRefBased/>
  <w15:docId w15:val="{F1F6AA24-5749-4E84-8663-FC265925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 Preschool</dc:creator>
  <cp:keywords/>
  <dc:description/>
  <cp:lastModifiedBy>Kea Preschool</cp:lastModifiedBy>
  <cp:revision>2</cp:revision>
  <dcterms:created xsi:type="dcterms:W3CDTF">2025-09-30T13:31:00Z</dcterms:created>
  <dcterms:modified xsi:type="dcterms:W3CDTF">2025-10-02T09:35:00Z</dcterms:modified>
</cp:coreProperties>
</file>